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99A" w:rsidRPr="009A2F23" w:rsidRDefault="00A3199A"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rPr>
          <w:rFonts w:ascii="Times New Roman" w:hAnsi="Times New Roman" w:cs="Times New Roman"/>
          <w:sz w:val="24"/>
          <w:szCs w:val="24"/>
        </w:rPr>
      </w:pPr>
    </w:p>
    <w:p w:rsidR="00E61367" w:rsidRPr="009A2F23" w:rsidRDefault="00E61367" w:rsidP="009A2F23">
      <w:pPr>
        <w:spacing w:after="0" w:line="480" w:lineRule="auto"/>
        <w:jc w:val="center"/>
        <w:rPr>
          <w:rFonts w:ascii="Times New Roman" w:hAnsi="Times New Roman" w:cs="Times New Roman"/>
          <w:sz w:val="24"/>
          <w:szCs w:val="24"/>
        </w:rPr>
      </w:pPr>
      <w:r w:rsidRPr="009A2F23">
        <w:rPr>
          <w:rFonts w:ascii="Times New Roman" w:hAnsi="Times New Roman" w:cs="Times New Roman"/>
          <w:sz w:val="24"/>
          <w:szCs w:val="24"/>
        </w:rPr>
        <w:t>Evaluating Research</w:t>
      </w:r>
    </w:p>
    <w:p w:rsidR="00E61367" w:rsidRPr="009A2F23" w:rsidRDefault="00E61367" w:rsidP="009A2F23">
      <w:pPr>
        <w:spacing w:after="0" w:line="480" w:lineRule="auto"/>
        <w:jc w:val="center"/>
        <w:rPr>
          <w:rFonts w:ascii="Times New Roman" w:hAnsi="Times New Roman" w:cs="Times New Roman"/>
          <w:sz w:val="24"/>
          <w:szCs w:val="24"/>
        </w:rPr>
      </w:pPr>
      <w:r w:rsidRPr="009A2F23">
        <w:rPr>
          <w:rFonts w:ascii="Times New Roman" w:hAnsi="Times New Roman" w:cs="Times New Roman"/>
          <w:sz w:val="24"/>
          <w:szCs w:val="24"/>
        </w:rPr>
        <w:t xml:space="preserve">Name: </w:t>
      </w:r>
    </w:p>
    <w:p w:rsidR="004005E2" w:rsidRPr="009A2F23" w:rsidRDefault="00E61367" w:rsidP="009A2F23">
      <w:pPr>
        <w:spacing w:after="0" w:line="480" w:lineRule="auto"/>
        <w:jc w:val="center"/>
        <w:rPr>
          <w:rFonts w:ascii="Times New Roman" w:hAnsi="Times New Roman" w:cs="Times New Roman"/>
          <w:sz w:val="24"/>
          <w:szCs w:val="24"/>
        </w:rPr>
      </w:pPr>
      <w:r w:rsidRPr="009A2F23">
        <w:rPr>
          <w:rFonts w:ascii="Times New Roman" w:hAnsi="Times New Roman" w:cs="Times New Roman"/>
          <w:sz w:val="24"/>
          <w:szCs w:val="24"/>
        </w:rPr>
        <w:t xml:space="preserve">University: </w:t>
      </w:r>
    </w:p>
    <w:p w:rsidR="004005E2" w:rsidRPr="009A2F23" w:rsidRDefault="004005E2" w:rsidP="009A2F23">
      <w:pPr>
        <w:spacing w:line="480" w:lineRule="auto"/>
        <w:rPr>
          <w:rFonts w:ascii="Times New Roman" w:hAnsi="Times New Roman" w:cs="Times New Roman"/>
          <w:sz w:val="24"/>
          <w:szCs w:val="24"/>
        </w:rPr>
      </w:pPr>
      <w:r w:rsidRPr="009A2F23">
        <w:rPr>
          <w:rFonts w:ascii="Times New Roman" w:hAnsi="Times New Roman" w:cs="Times New Roman"/>
          <w:sz w:val="24"/>
          <w:szCs w:val="24"/>
        </w:rPr>
        <w:br w:type="page"/>
      </w:r>
    </w:p>
    <w:p w:rsidR="00E61367" w:rsidRPr="009A2F23" w:rsidRDefault="004005E2" w:rsidP="009A2F23">
      <w:pPr>
        <w:spacing w:after="0" w:line="480" w:lineRule="auto"/>
        <w:jc w:val="center"/>
        <w:rPr>
          <w:rFonts w:ascii="Times New Roman" w:hAnsi="Times New Roman" w:cs="Times New Roman"/>
          <w:sz w:val="24"/>
          <w:szCs w:val="24"/>
        </w:rPr>
      </w:pPr>
      <w:r w:rsidRPr="009A2F23">
        <w:rPr>
          <w:rFonts w:ascii="Times New Roman" w:hAnsi="Times New Roman" w:cs="Times New Roman"/>
          <w:sz w:val="24"/>
          <w:szCs w:val="24"/>
        </w:rPr>
        <w:lastRenderedPageBreak/>
        <w:t>Evaluating Research</w:t>
      </w:r>
    </w:p>
    <w:p w:rsidR="004005E2" w:rsidRPr="009A2F23" w:rsidRDefault="004005E2" w:rsidP="009A2F23">
      <w:pPr>
        <w:spacing w:after="0" w:line="480" w:lineRule="auto"/>
        <w:ind w:left="720" w:hanging="720"/>
        <w:rPr>
          <w:rFonts w:ascii="Times New Roman" w:eastAsia="Times New Roman" w:hAnsi="Times New Roman" w:cs="Times New Roman"/>
          <w:b/>
          <w:sz w:val="24"/>
          <w:szCs w:val="24"/>
        </w:rPr>
      </w:pPr>
      <w:r w:rsidRPr="004005E2">
        <w:rPr>
          <w:rFonts w:ascii="Times New Roman" w:eastAsia="Times New Roman" w:hAnsi="Times New Roman" w:cs="Times New Roman"/>
          <w:b/>
          <w:sz w:val="24"/>
          <w:szCs w:val="24"/>
        </w:rPr>
        <w:t xml:space="preserve">Wagaman, M. A., Geiger, J. M., Shockley, C., &amp; Segal, E. A. (2015). The role of empathy in burnout, compassion satisfaction, and secondary traumatic stress among social workers. </w:t>
      </w:r>
      <w:r w:rsidRPr="004005E2">
        <w:rPr>
          <w:rFonts w:ascii="Times New Roman" w:eastAsia="Times New Roman" w:hAnsi="Times New Roman" w:cs="Times New Roman"/>
          <w:b/>
          <w:i/>
          <w:iCs/>
          <w:sz w:val="24"/>
          <w:szCs w:val="24"/>
        </w:rPr>
        <w:t>Social work</w:t>
      </w:r>
      <w:r w:rsidRPr="004005E2">
        <w:rPr>
          <w:rFonts w:ascii="Times New Roman" w:eastAsia="Times New Roman" w:hAnsi="Times New Roman" w:cs="Times New Roman"/>
          <w:b/>
          <w:sz w:val="24"/>
          <w:szCs w:val="24"/>
        </w:rPr>
        <w:t xml:space="preserve">, </w:t>
      </w:r>
      <w:r w:rsidRPr="004005E2">
        <w:rPr>
          <w:rFonts w:ascii="Times New Roman" w:eastAsia="Times New Roman" w:hAnsi="Times New Roman" w:cs="Times New Roman"/>
          <w:b/>
          <w:i/>
          <w:iCs/>
          <w:sz w:val="24"/>
          <w:szCs w:val="24"/>
        </w:rPr>
        <w:t>60</w:t>
      </w:r>
      <w:r w:rsidRPr="004005E2">
        <w:rPr>
          <w:rFonts w:ascii="Times New Roman" w:eastAsia="Times New Roman" w:hAnsi="Times New Roman" w:cs="Times New Roman"/>
          <w:b/>
          <w:sz w:val="24"/>
          <w:szCs w:val="24"/>
        </w:rPr>
        <w:t>(3), 201-209.</w:t>
      </w:r>
    </w:p>
    <w:p w:rsidR="005E6184" w:rsidRPr="009A2F23" w:rsidRDefault="005E6184" w:rsidP="009A2F23">
      <w:pPr>
        <w:spacing w:after="0" w:line="480" w:lineRule="auto"/>
        <w:ind w:firstLine="720"/>
        <w:rPr>
          <w:rFonts w:ascii="Times New Roman" w:eastAsia="Times New Roman" w:hAnsi="Times New Roman" w:cs="Times New Roman"/>
          <w:sz w:val="24"/>
          <w:szCs w:val="24"/>
        </w:rPr>
      </w:pPr>
      <w:r w:rsidRPr="009A2F23">
        <w:rPr>
          <w:rFonts w:ascii="Times New Roman" w:eastAsia="Times New Roman" w:hAnsi="Times New Roman" w:cs="Times New Roman"/>
          <w:sz w:val="24"/>
          <w:szCs w:val="24"/>
        </w:rPr>
        <w:t xml:space="preserve">Wagaman et al. (2015) look to investigate the association between the components of empathy, burnout, compassion satisfaction, and secondary traumatic stress (STS). </w:t>
      </w:r>
      <w:r w:rsidR="007D12E7" w:rsidRPr="009A2F23">
        <w:rPr>
          <w:rFonts w:ascii="Times New Roman" w:eastAsia="Times New Roman" w:hAnsi="Times New Roman" w:cs="Times New Roman"/>
          <w:sz w:val="24"/>
          <w:szCs w:val="24"/>
        </w:rPr>
        <w:t xml:space="preserve">The authors hypothesize that empathy could potentially reduce burnout and STS while boosting compassion satisfaction among social workers. </w:t>
      </w:r>
      <w:r w:rsidR="00391661" w:rsidRPr="009A2F23">
        <w:rPr>
          <w:rFonts w:ascii="Times New Roman" w:eastAsia="Times New Roman" w:hAnsi="Times New Roman" w:cs="Times New Roman"/>
          <w:sz w:val="24"/>
          <w:szCs w:val="24"/>
        </w:rPr>
        <w:t xml:space="preserve">They used Professional Quality of Life instruments and the Empathy Assessment Index to determine the various parameters among 173 social workers. The study results suggest a negative association between empathy and both burnout and STS with a positive association between empathy and compassion satisfaction. </w:t>
      </w:r>
    </w:p>
    <w:p w:rsidR="0070702A" w:rsidRPr="009A2F23" w:rsidRDefault="0070702A" w:rsidP="009A2F23">
      <w:pPr>
        <w:spacing w:after="0" w:line="480" w:lineRule="auto"/>
        <w:ind w:firstLine="720"/>
        <w:rPr>
          <w:rFonts w:ascii="Times New Roman" w:eastAsia="Times New Roman" w:hAnsi="Times New Roman" w:cs="Times New Roman"/>
          <w:sz w:val="24"/>
          <w:szCs w:val="24"/>
        </w:rPr>
      </w:pPr>
      <w:r w:rsidRPr="009A2F23">
        <w:rPr>
          <w:rFonts w:ascii="Times New Roman" w:eastAsia="Times New Roman" w:hAnsi="Times New Roman" w:cs="Times New Roman"/>
          <w:sz w:val="24"/>
          <w:szCs w:val="24"/>
        </w:rPr>
        <w:t xml:space="preserve">The authors’ conclusions are supported by the evidence that they present in the results section of the paper. </w:t>
      </w:r>
      <w:r w:rsidR="001D2CD9" w:rsidRPr="009A2F23">
        <w:rPr>
          <w:rFonts w:ascii="Times New Roman" w:eastAsia="Times New Roman" w:hAnsi="Times New Roman" w:cs="Times New Roman"/>
          <w:sz w:val="24"/>
          <w:szCs w:val="24"/>
        </w:rPr>
        <w:t xml:space="preserve">The authors’ interpretation of the data is the best possible means of interpretation. </w:t>
      </w:r>
      <w:r w:rsidR="00AE1A99" w:rsidRPr="009A2F23">
        <w:rPr>
          <w:rFonts w:ascii="Times New Roman" w:eastAsia="Times New Roman" w:hAnsi="Times New Roman" w:cs="Times New Roman"/>
          <w:sz w:val="24"/>
          <w:szCs w:val="24"/>
        </w:rPr>
        <w:t>The authors</w:t>
      </w:r>
      <w:r w:rsidR="008C440A">
        <w:rPr>
          <w:rFonts w:ascii="Times New Roman" w:eastAsia="Times New Roman" w:hAnsi="Times New Roman" w:cs="Times New Roman"/>
          <w:sz w:val="24"/>
          <w:szCs w:val="24"/>
        </w:rPr>
        <w:t>’ assertions in</w:t>
      </w:r>
      <w:r w:rsidR="00AE1A99" w:rsidRPr="009A2F23">
        <w:rPr>
          <w:rFonts w:ascii="Times New Roman" w:eastAsia="Times New Roman" w:hAnsi="Times New Roman" w:cs="Times New Roman"/>
          <w:sz w:val="24"/>
          <w:szCs w:val="24"/>
        </w:rPr>
        <w:t xml:space="preserve"> the paper are also supported by fact and high-quality scholarly resources. </w:t>
      </w:r>
      <w:r w:rsidR="001D2CD9" w:rsidRPr="009A2F23">
        <w:rPr>
          <w:rFonts w:ascii="Times New Roman" w:eastAsia="Times New Roman" w:hAnsi="Times New Roman" w:cs="Times New Roman"/>
          <w:sz w:val="24"/>
          <w:szCs w:val="24"/>
        </w:rPr>
        <w:t xml:space="preserve">The authors, however, failed to consider the impact of confounding factors on the outcomes of the study. For instance, the authors do not consider the impact of the environment, the type of work, and the volume of work in the causation of burnout and STS. These confounding factors derail the accurate interpretation of </w:t>
      </w:r>
      <w:r w:rsidR="008C440A">
        <w:rPr>
          <w:rFonts w:ascii="Times New Roman" w:eastAsia="Times New Roman" w:hAnsi="Times New Roman" w:cs="Times New Roman"/>
          <w:sz w:val="24"/>
          <w:szCs w:val="24"/>
        </w:rPr>
        <w:t xml:space="preserve">the </w:t>
      </w:r>
      <w:r w:rsidR="001D2CD9" w:rsidRPr="009A2F23">
        <w:rPr>
          <w:rFonts w:ascii="Times New Roman" w:eastAsia="Times New Roman" w:hAnsi="Times New Roman" w:cs="Times New Roman"/>
          <w:sz w:val="24"/>
          <w:szCs w:val="24"/>
        </w:rPr>
        <w:t xml:space="preserve">study results. </w:t>
      </w:r>
      <w:r w:rsidR="00960DDC" w:rsidRPr="009A2F23">
        <w:rPr>
          <w:rFonts w:ascii="Times New Roman" w:eastAsia="Times New Roman" w:hAnsi="Times New Roman" w:cs="Times New Roman"/>
          <w:sz w:val="24"/>
          <w:szCs w:val="24"/>
        </w:rPr>
        <w:t xml:space="preserve">As such, for more accuracy, it would be important for the researchers to include factors like the environment and the volume of work as independent variables for the study. </w:t>
      </w:r>
      <w:r w:rsidRPr="009A2F23">
        <w:rPr>
          <w:rFonts w:ascii="Times New Roman" w:eastAsia="Times New Roman" w:hAnsi="Times New Roman" w:cs="Times New Roman"/>
          <w:sz w:val="24"/>
          <w:szCs w:val="24"/>
        </w:rPr>
        <w:t xml:space="preserve">However, it is difficult to determine the possibility of bias in the results considering the fact that the authors failed to discuss their sampling strategy fully. </w:t>
      </w:r>
    </w:p>
    <w:p w:rsidR="007D1490" w:rsidRPr="009A2F23" w:rsidRDefault="007D1490" w:rsidP="009A2F23">
      <w:pPr>
        <w:spacing w:after="0" w:line="480" w:lineRule="auto"/>
        <w:ind w:left="720" w:hanging="720"/>
        <w:rPr>
          <w:rFonts w:ascii="Times New Roman" w:hAnsi="Times New Roman" w:cs="Times New Roman"/>
          <w:b/>
          <w:sz w:val="24"/>
          <w:szCs w:val="24"/>
        </w:rPr>
      </w:pPr>
      <w:r w:rsidRPr="009A2F23">
        <w:rPr>
          <w:rFonts w:ascii="Times New Roman" w:hAnsi="Times New Roman" w:cs="Times New Roman"/>
          <w:b/>
          <w:sz w:val="24"/>
          <w:szCs w:val="24"/>
        </w:rPr>
        <w:lastRenderedPageBreak/>
        <w:t xml:space="preserve">Smith, D. B., &amp; Shields, J. (2013). Factors related to social service workers' job satisfaction: Revisiting Herzberg's motivation to work. </w:t>
      </w:r>
      <w:r w:rsidRPr="009A2F23">
        <w:rPr>
          <w:rFonts w:ascii="Times New Roman" w:hAnsi="Times New Roman" w:cs="Times New Roman"/>
          <w:b/>
          <w:i/>
          <w:iCs/>
          <w:sz w:val="24"/>
          <w:szCs w:val="24"/>
        </w:rPr>
        <w:t>Administration in Social Work</w:t>
      </w:r>
      <w:r w:rsidRPr="009A2F23">
        <w:rPr>
          <w:rFonts w:ascii="Times New Roman" w:hAnsi="Times New Roman" w:cs="Times New Roman"/>
          <w:b/>
          <w:sz w:val="24"/>
          <w:szCs w:val="24"/>
        </w:rPr>
        <w:t xml:space="preserve">, </w:t>
      </w:r>
      <w:r w:rsidRPr="009A2F23">
        <w:rPr>
          <w:rFonts w:ascii="Times New Roman" w:hAnsi="Times New Roman" w:cs="Times New Roman"/>
          <w:b/>
          <w:i/>
          <w:iCs/>
          <w:sz w:val="24"/>
          <w:szCs w:val="24"/>
        </w:rPr>
        <w:t>37</w:t>
      </w:r>
      <w:r w:rsidRPr="009A2F23">
        <w:rPr>
          <w:rFonts w:ascii="Times New Roman" w:hAnsi="Times New Roman" w:cs="Times New Roman"/>
          <w:b/>
          <w:sz w:val="24"/>
          <w:szCs w:val="24"/>
        </w:rPr>
        <w:t>(2), 189-198.</w:t>
      </w:r>
    </w:p>
    <w:p w:rsidR="004A36B7" w:rsidRPr="009A2F23" w:rsidRDefault="007D1490" w:rsidP="009A2F23">
      <w:pPr>
        <w:spacing w:after="0" w:line="480" w:lineRule="auto"/>
        <w:ind w:firstLine="720"/>
        <w:rPr>
          <w:rFonts w:ascii="Times New Roman" w:eastAsia="Times New Roman" w:hAnsi="Times New Roman" w:cs="Times New Roman"/>
          <w:sz w:val="24"/>
          <w:szCs w:val="24"/>
        </w:rPr>
      </w:pPr>
      <w:r w:rsidRPr="009A2F23">
        <w:rPr>
          <w:rFonts w:ascii="Times New Roman" w:eastAsia="Times New Roman" w:hAnsi="Times New Roman" w:cs="Times New Roman"/>
          <w:sz w:val="24"/>
          <w:szCs w:val="24"/>
        </w:rPr>
        <w:t xml:space="preserve">Smith and Shields (2013) look to utilize Herzberg’s theory of motivation to determine the factors that influenced job </w:t>
      </w:r>
      <w:r w:rsidR="00731ADB" w:rsidRPr="009A2F23">
        <w:rPr>
          <w:rFonts w:ascii="Times New Roman" w:eastAsia="Times New Roman" w:hAnsi="Times New Roman" w:cs="Times New Roman"/>
          <w:sz w:val="24"/>
          <w:szCs w:val="24"/>
        </w:rPr>
        <w:t xml:space="preserve">satisfaction among social workers. </w:t>
      </w:r>
      <w:r w:rsidR="00450350" w:rsidRPr="009A2F23">
        <w:rPr>
          <w:rFonts w:ascii="Times New Roman" w:eastAsia="Times New Roman" w:hAnsi="Times New Roman" w:cs="Times New Roman"/>
          <w:sz w:val="24"/>
          <w:szCs w:val="24"/>
        </w:rPr>
        <w:t xml:space="preserve">The researchers utilized a convenience sample of 229 participants and collected largely qualitative data over a period of two years. They utilized logistic regression analysis to analyze their data. Their study determined that variety and creativity constituted the motivation variable that was most predictive of satisfaction and its maintenance. </w:t>
      </w:r>
    </w:p>
    <w:p w:rsidR="00A42CD6" w:rsidRPr="009A2F23" w:rsidRDefault="004A36B7" w:rsidP="009A2F23">
      <w:pPr>
        <w:spacing w:after="0" w:line="480" w:lineRule="auto"/>
        <w:ind w:firstLine="720"/>
        <w:rPr>
          <w:rFonts w:ascii="Times New Roman" w:eastAsia="Times New Roman" w:hAnsi="Times New Roman" w:cs="Times New Roman"/>
          <w:sz w:val="24"/>
          <w:szCs w:val="24"/>
        </w:rPr>
      </w:pPr>
      <w:r w:rsidRPr="009A2F23">
        <w:rPr>
          <w:rFonts w:ascii="Times New Roman" w:eastAsia="Times New Roman" w:hAnsi="Times New Roman" w:cs="Times New Roman"/>
          <w:sz w:val="24"/>
          <w:szCs w:val="24"/>
        </w:rPr>
        <w:t xml:space="preserve">The authors utilize a highly effective analytic tool for qualitative research. Their analysis dwells on the data they present hence the observation that their conclusions and recommendations are in line with their study findings. </w:t>
      </w:r>
      <w:r w:rsidR="00425167" w:rsidRPr="009A2F23">
        <w:rPr>
          <w:rFonts w:ascii="Times New Roman" w:eastAsia="Times New Roman" w:hAnsi="Times New Roman" w:cs="Times New Roman"/>
          <w:sz w:val="24"/>
          <w:szCs w:val="24"/>
        </w:rPr>
        <w:t xml:space="preserve">The accuracy of both the results and the conclusions is also supported by the sampling technique. Although the authors utilize convenience sampling, which is a non-random sampling technique, primarily, their sample shows a good mixture of social status and race; the sample can be useful in generalizing conclusions to the population. </w:t>
      </w:r>
      <w:r w:rsidR="00125D61" w:rsidRPr="009A2F23">
        <w:rPr>
          <w:rFonts w:ascii="Times New Roman" w:eastAsia="Times New Roman" w:hAnsi="Times New Roman" w:cs="Times New Roman"/>
          <w:sz w:val="24"/>
          <w:szCs w:val="24"/>
        </w:rPr>
        <w:t>The authors also utilize high</w:t>
      </w:r>
      <w:r w:rsidR="009B27E4" w:rsidRPr="009A2F23">
        <w:rPr>
          <w:rFonts w:ascii="Times New Roman" w:eastAsia="Times New Roman" w:hAnsi="Times New Roman" w:cs="Times New Roman"/>
          <w:sz w:val="24"/>
          <w:szCs w:val="24"/>
        </w:rPr>
        <w:t xml:space="preserve">-quality resources in the text hence adding to the quality of their work. </w:t>
      </w:r>
      <w:r w:rsidR="005C3E91" w:rsidRPr="009A2F23">
        <w:rPr>
          <w:rFonts w:ascii="Times New Roman" w:eastAsia="Times New Roman" w:hAnsi="Times New Roman" w:cs="Times New Roman"/>
          <w:sz w:val="24"/>
          <w:szCs w:val="24"/>
        </w:rPr>
        <w:t>However, the authors fail to consider important confounding factors. For instance, the authors do not c</w:t>
      </w:r>
      <w:r w:rsidR="008C440A">
        <w:rPr>
          <w:rFonts w:ascii="Times New Roman" w:eastAsia="Times New Roman" w:hAnsi="Times New Roman" w:cs="Times New Roman"/>
          <w:sz w:val="24"/>
          <w:szCs w:val="24"/>
        </w:rPr>
        <w:t>onsider the impact of the working</w:t>
      </w:r>
      <w:r w:rsidR="005C3E91" w:rsidRPr="009A2F23">
        <w:rPr>
          <w:rFonts w:ascii="Times New Roman" w:eastAsia="Times New Roman" w:hAnsi="Times New Roman" w:cs="Times New Roman"/>
          <w:sz w:val="24"/>
          <w:szCs w:val="24"/>
        </w:rPr>
        <w:t xml:space="preserve"> environment and the volume of work on the satisfaction of the social workers. </w:t>
      </w:r>
      <w:r w:rsidR="00F63EBF" w:rsidRPr="009A2F23">
        <w:rPr>
          <w:rFonts w:ascii="Times New Roman" w:eastAsia="Times New Roman" w:hAnsi="Times New Roman" w:cs="Times New Roman"/>
          <w:sz w:val="24"/>
          <w:szCs w:val="24"/>
        </w:rPr>
        <w:t xml:space="preserve">As such, a number of the authors’ assertions are not fully supported by fact. </w:t>
      </w:r>
    </w:p>
    <w:p w:rsidR="00C52AEF" w:rsidRPr="004005E2" w:rsidRDefault="00C52AEF" w:rsidP="009A2F23">
      <w:pPr>
        <w:spacing w:after="0" w:line="480" w:lineRule="auto"/>
        <w:ind w:left="720" w:hanging="720"/>
        <w:rPr>
          <w:rFonts w:ascii="Times New Roman" w:eastAsia="Times New Roman" w:hAnsi="Times New Roman" w:cs="Times New Roman"/>
          <w:b/>
          <w:sz w:val="24"/>
          <w:szCs w:val="24"/>
        </w:rPr>
      </w:pPr>
      <w:r w:rsidRPr="004005E2">
        <w:rPr>
          <w:rFonts w:ascii="Times New Roman" w:eastAsia="Times New Roman" w:hAnsi="Times New Roman" w:cs="Times New Roman"/>
          <w:b/>
          <w:sz w:val="24"/>
          <w:szCs w:val="24"/>
        </w:rPr>
        <w:t xml:space="preserve">McGarrigle, T., &amp; Walsh, C. A. (2011). Mindfulness, self-care, and wellness in social work: Effects of contemplative training. </w:t>
      </w:r>
      <w:r w:rsidRPr="004005E2">
        <w:rPr>
          <w:rFonts w:ascii="Times New Roman" w:eastAsia="Times New Roman" w:hAnsi="Times New Roman" w:cs="Times New Roman"/>
          <w:b/>
          <w:i/>
          <w:iCs/>
          <w:sz w:val="24"/>
          <w:szCs w:val="24"/>
        </w:rPr>
        <w:t>Journal of Religion &amp; Spirituality in Social Work: Social Thought</w:t>
      </w:r>
      <w:r w:rsidRPr="004005E2">
        <w:rPr>
          <w:rFonts w:ascii="Times New Roman" w:eastAsia="Times New Roman" w:hAnsi="Times New Roman" w:cs="Times New Roman"/>
          <w:b/>
          <w:sz w:val="24"/>
          <w:szCs w:val="24"/>
        </w:rPr>
        <w:t xml:space="preserve">, </w:t>
      </w:r>
      <w:r w:rsidRPr="004005E2">
        <w:rPr>
          <w:rFonts w:ascii="Times New Roman" w:eastAsia="Times New Roman" w:hAnsi="Times New Roman" w:cs="Times New Roman"/>
          <w:b/>
          <w:i/>
          <w:iCs/>
          <w:sz w:val="24"/>
          <w:szCs w:val="24"/>
        </w:rPr>
        <w:t>30</w:t>
      </w:r>
      <w:r w:rsidRPr="004005E2">
        <w:rPr>
          <w:rFonts w:ascii="Times New Roman" w:eastAsia="Times New Roman" w:hAnsi="Times New Roman" w:cs="Times New Roman"/>
          <w:b/>
          <w:sz w:val="24"/>
          <w:szCs w:val="24"/>
        </w:rPr>
        <w:t>(3), 212-233.</w:t>
      </w:r>
    </w:p>
    <w:p w:rsidR="00C74F89" w:rsidRPr="009A2F23" w:rsidRDefault="00C74F89" w:rsidP="009A2F23">
      <w:pPr>
        <w:spacing w:after="0" w:line="480" w:lineRule="auto"/>
        <w:ind w:firstLine="720"/>
        <w:rPr>
          <w:rFonts w:ascii="Times New Roman" w:eastAsia="Times New Roman" w:hAnsi="Times New Roman" w:cs="Times New Roman"/>
          <w:sz w:val="24"/>
          <w:szCs w:val="24"/>
        </w:rPr>
      </w:pPr>
      <w:r w:rsidRPr="009A2F23">
        <w:rPr>
          <w:rFonts w:ascii="Times New Roman" w:eastAsia="Times New Roman" w:hAnsi="Times New Roman" w:cs="Times New Roman"/>
          <w:sz w:val="24"/>
          <w:szCs w:val="24"/>
        </w:rPr>
        <w:lastRenderedPageBreak/>
        <w:t xml:space="preserve">McGarrigle and Walsh (2011) look to investigate the impact of a training program on the ability of human service workers to enhance their self-care, awareness, and coping strategies. </w:t>
      </w:r>
      <w:r w:rsidR="00C52AEF" w:rsidRPr="009A2F23">
        <w:rPr>
          <w:rFonts w:ascii="Times New Roman" w:eastAsia="Times New Roman" w:hAnsi="Times New Roman" w:cs="Times New Roman"/>
          <w:sz w:val="24"/>
          <w:szCs w:val="24"/>
        </w:rPr>
        <w:t>They hypothesize that inadequate training is central to the apparent deficiency in coping strategies, self-care, and self-awareness among human service workers. They utilize 12 human service workers in their study. They utilize standard tools to collect qualitative data. The researchers then analyze their data utilizing paired t-tests on various param</w:t>
      </w:r>
      <w:r w:rsidR="008C440A">
        <w:rPr>
          <w:rFonts w:ascii="Times New Roman" w:eastAsia="Times New Roman" w:hAnsi="Times New Roman" w:cs="Times New Roman"/>
          <w:sz w:val="24"/>
          <w:szCs w:val="24"/>
        </w:rPr>
        <w:t>eters before and after an eight-</w:t>
      </w:r>
      <w:bookmarkStart w:id="0" w:name="_GoBack"/>
      <w:bookmarkEnd w:id="0"/>
      <w:r w:rsidR="00C52AEF" w:rsidRPr="009A2F23">
        <w:rPr>
          <w:rFonts w:ascii="Times New Roman" w:eastAsia="Times New Roman" w:hAnsi="Times New Roman" w:cs="Times New Roman"/>
          <w:sz w:val="24"/>
          <w:szCs w:val="24"/>
        </w:rPr>
        <w:t xml:space="preserve">week training. </w:t>
      </w:r>
      <w:r w:rsidR="009339FC" w:rsidRPr="009A2F23">
        <w:rPr>
          <w:rFonts w:ascii="Times New Roman" w:eastAsia="Times New Roman" w:hAnsi="Times New Roman" w:cs="Times New Roman"/>
          <w:sz w:val="24"/>
          <w:szCs w:val="24"/>
        </w:rPr>
        <w:t xml:space="preserve">Over the study period, the authors determined that mindfulness level of the participants significantly increased while their stress levels significantly decreased. </w:t>
      </w:r>
      <w:r w:rsidR="00582D6E" w:rsidRPr="009A2F23">
        <w:rPr>
          <w:rFonts w:ascii="Times New Roman" w:eastAsia="Times New Roman" w:hAnsi="Times New Roman" w:cs="Times New Roman"/>
          <w:sz w:val="24"/>
          <w:szCs w:val="24"/>
        </w:rPr>
        <w:t xml:space="preserve">The authors also determined that the time, place, and permission for practicing mindful activities determined the overall level of mindfulness for every participant. </w:t>
      </w:r>
      <w:r w:rsidR="00DD1062" w:rsidRPr="009A2F23">
        <w:rPr>
          <w:rFonts w:ascii="Times New Roman" w:eastAsia="Times New Roman" w:hAnsi="Times New Roman" w:cs="Times New Roman"/>
          <w:sz w:val="24"/>
          <w:szCs w:val="24"/>
        </w:rPr>
        <w:t xml:space="preserve">A separate analytic tool revealed that increased awareness and mindfulness among human service workers enhanced their ability for self-care and, ultimately, their ability to care for their clients. </w:t>
      </w:r>
    </w:p>
    <w:p w:rsidR="00061734" w:rsidRPr="009A2F23" w:rsidRDefault="00061734" w:rsidP="009A2F23">
      <w:pPr>
        <w:spacing w:after="0" w:line="480" w:lineRule="auto"/>
        <w:ind w:firstLine="720"/>
        <w:rPr>
          <w:rFonts w:ascii="Times New Roman" w:eastAsia="Times New Roman" w:hAnsi="Times New Roman" w:cs="Times New Roman"/>
          <w:sz w:val="24"/>
          <w:szCs w:val="24"/>
        </w:rPr>
      </w:pPr>
      <w:r w:rsidRPr="009A2F23">
        <w:rPr>
          <w:rFonts w:ascii="Times New Roman" w:eastAsia="Times New Roman" w:hAnsi="Times New Roman" w:cs="Times New Roman"/>
          <w:sz w:val="24"/>
          <w:szCs w:val="24"/>
        </w:rPr>
        <w:t xml:space="preserve">The author present adequate data for drawing the conclusions. Although they draw some conclusions that are not directly related to their data, they reveal the analytic process behind those conclusions hence effectively validating them. </w:t>
      </w:r>
      <w:r w:rsidR="000A5821" w:rsidRPr="009A2F23">
        <w:rPr>
          <w:rFonts w:ascii="Times New Roman" w:eastAsia="Times New Roman" w:hAnsi="Times New Roman" w:cs="Times New Roman"/>
          <w:sz w:val="24"/>
          <w:szCs w:val="24"/>
        </w:rPr>
        <w:t>Furthermore</w:t>
      </w:r>
      <w:r w:rsidR="00AF0E53" w:rsidRPr="009A2F23">
        <w:rPr>
          <w:rFonts w:ascii="Times New Roman" w:eastAsia="Times New Roman" w:hAnsi="Times New Roman" w:cs="Times New Roman"/>
          <w:sz w:val="24"/>
          <w:szCs w:val="24"/>
        </w:rPr>
        <w:t xml:space="preserve">, their study is devoid of bias at all levels. Their sampling technique is astute and standard. Their data collection tools have proven useful in previous studies hence their validity and reliability. </w:t>
      </w:r>
      <w:r w:rsidR="000A5821" w:rsidRPr="009A2F23">
        <w:rPr>
          <w:rFonts w:ascii="Times New Roman" w:eastAsia="Times New Roman" w:hAnsi="Times New Roman" w:cs="Times New Roman"/>
          <w:sz w:val="24"/>
          <w:szCs w:val="24"/>
        </w:rPr>
        <w:t xml:space="preserve">Furthermore, the authors’ ability to demonstrate causality eliminates the possibility of bias affecting the validity of the results. Ability to demonstrate causality also decreases the weight of individual personality of the participants as a potential confounding factor or an additional independent variable in the study. </w:t>
      </w:r>
      <w:r w:rsidR="0063582A" w:rsidRPr="009A2F23">
        <w:rPr>
          <w:rFonts w:ascii="Times New Roman" w:eastAsia="Times New Roman" w:hAnsi="Times New Roman" w:cs="Times New Roman"/>
          <w:sz w:val="24"/>
          <w:szCs w:val="24"/>
        </w:rPr>
        <w:t xml:space="preserve">The authors also use reliable sources to form a strong theoretical basis to the study. </w:t>
      </w:r>
    </w:p>
    <w:p w:rsidR="007E5E9C" w:rsidRPr="009A2F23" w:rsidRDefault="007E5E9C" w:rsidP="009A2F23">
      <w:pPr>
        <w:spacing w:after="0" w:line="480" w:lineRule="auto"/>
        <w:rPr>
          <w:rFonts w:ascii="Times New Roman" w:eastAsia="Times New Roman" w:hAnsi="Times New Roman" w:cs="Times New Roman"/>
          <w:b/>
          <w:sz w:val="24"/>
          <w:szCs w:val="24"/>
        </w:rPr>
      </w:pPr>
      <w:r w:rsidRPr="009A2F23">
        <w:rPr>
          <w:rFonts w:ascii="Times New Roman" w:eastAsia="Times New Roman" w:hAnsi="Times New Roman" w:cs="Times New Roman"/>
          <w:b/>
          <w:sz w:val="24"/>
          <w:szCs w:val="24"/>
        </w:rPr>
        <w:t>Issues with the Use of Secondary Data</w:t>
      </w:r>
    </w:p>
    <w:p w:rsidR="007E5E9C" w:rsidRPr="009A2F23" w:rsidRDefault="007E5E9C" w:rsidP="009A2F23">
      <w:pPr>
        <w:spacing w:after="0" w:line="480" w:lineRule="auto"/>
        <w:rPr>
          <w:rFonts w:ascii="Times New Roman" w:eastAsia="Times New Roman" w:hAnsi="Times New Roman" w:cs="Times New Roman"/>
          <w:sz w:val="24"/>
          <w:szCs w:val="24"/>
        </w:rPr>
      </w:pPr>
      <w:r w:rsidRPr="009A2F23">
        <w:rPr>
          <w:rFonts w:ascii="Times New Roman" w:eastAsia="Times New Roman" w:hAnsi="Times New Roman" w:cs="Times New Roman"/>
          <w:b/>
          <w:sz w:val="24"/>
          <w:szCs w:val="24"/>
        </w:rPr>
        <w:lastRenderedPageBreak/>
        <w:tab/>
      </w:r>
      <w:r w:rsidRPr="009A2F23">
        <w:rPr>
          <w:rFonts w:ascii="Times New Roman" w:eastAsia="Times New Roman" w:hAnsi="Times New Roman" w:cs="Times New Roman"/>
          <w:sz w:val="24"/>
          <w:szCs w:val="24"/>
        </w:rPr>
        <w:t>One major ethical issue in the use of secondary data lies with the consenting process. While a researcher in primary research directly follows the consenting process and informs the participants of the potential consequences or impacts of participating in the research, a researcher in secondary research utilizes data that was collected earlier. As such, a researcher analyzing secondary research utilizes data without having the consent of the participants from whom the data was collected</w:t>
      </w:r>
      <w:r w:rsidR="004F53A1" w:rsidRPr="009A2F23">
        <w:rPr>
          <w:rFonts w:ascii="Times New Roman" w:eastAsia="Times New Roman" w:hAnsi="Times New Roman" w:cs="Times New Roman"/>
          <w:sz w:val="24"/>
          <w:szCs w:val="24"/>
        </w:rPr>
        <w:t xml:space="preserve"> (Tripathy, 2013)</w:t>
      </w:r>
      <w:r w:rsidRPr="009A2F23">
        <w:rPr>
          <w:rFonts w:ascii="Times New Roman" w:eastAsia="Times New Roman" w:hAnsi="Times New Roman" w:cs="Times New Roman"/>
          <w:sz w:val="24"/>
          <w:szCs w:val="24"/>
        </w:rPr>
        <w:t>. However, in circumventing this issue, it is important for a researcher to utilize primary data where the participants consented to secondary use of the data they provide. Alternatively, one can use data that is freely accessible on the internet if they can confirm the authenticity of that data</w:t>
      </w:r>
      <w:r w:rsidR="004F53A1" w:rsidRPr="009A2F23">
        <w:rPr>
          <w:rFonts w:ascii="Times New Roman" w:eastAsia="Times New Roman" w:hAnsi="Times New Roman" w:cs="Times New Roman"/>
          <w:sz w:val="24"/>
          <w:szCs w:val="24"/>
        </w:rPr>
        <w:t xml:space="preserve"> </w:t>
      </w:r>
      <w:r w:rsidR="004F53A1" w:rsidRPr="009A2F23">
        <w:rPr>
          <w:rFonts w:ascii="Times New Roman" w:eastAsia="Times New Roman" w:hAnsi="Times New Roman" w:cs="Times New Roman"/>
          <w:sz w:val="24"/>
          <w:szCs w:val="24"/>
        </w:rPr>
        <w:t>(Tripathy, 2013)</w:t>
      </w:r>
      <w:r w:rsidRPr="009A2F23">
        <w:rPr>
          <w:rFonts w:ascii="Times New Roman" w:eastAsia="Times New Roman" w:hAnsi="Times New Roman" w:cs="Times New Roman"/>
          <w:sz w:val="24"/>
          <w:szCs w:val="24"/>
        </w:rPr>
        <w:t xml:space="preserve">. </w:t>
      </w:r>
    </w:p>
    <w:p w:rsidR="00811FBB" w:rsidRPr="009A2F23" w:rsidRDefault="00811FBB" w:rsidP="009A2F23">
      <w:pPr>
        <w:spacing w:after="0" w:line="480" w:lineRule="auto"/>
        <w:rPr>
          <w:rFonts w:ascii="Times New Roman" w:eastAsia="Times New Roman" w:hAnsi="Times New Roman" w:cs="Times New Roman"/>
          <w:sz w:val="24"/>
          <w:szCs w:val="24"/>
        </w:rPr>
      </w:pPr>
    </w:p>
    <w:p w:rsidR="00C74F89" w:rsidRPr="004005E2" w:rsidRDefault="00C74F89" w:rsidP="009A2F23">
      <w:pPr>
        <w:spacing w:after="0" w:line="480" w:lineRule="auto"/>
        <w:rPr>
          <w:rFonts w:ascii="Times New Roman" w:eastAsia="Times New Roman" w:hAnsi="Times New Roman" w:cs="Times New Roman"/>
          <w:sz w:val="24"/>
          <w:szCs w:val="24"/>
        </w:rPr>
      </w:pPr>
      <w:r w:rsidRPr="009A2F23">
        <w:rPr>
          <w:rFonts w:ascii="Times New Roman" w:eastAsia="Times New Roman" w:hAnsi="Times New Roman" w:cs="Times New Roman"/>
          <w:sz w:val="24"/>
          <w:szCs w:val="24"/>
        </w:rPr>
        <w:tab/>
      </w:r>
    </w:p>
    <w:p w:rsidR="004005E2" w:rsidRPr="009A2F23" w:rsidRDefault="004005E2" w:rsidP="009A2F23">
      <w:pPr>
        <w:spacing w:after="0" w:line="480" w:lineRule="auto"/>
        <w:rPr>
          <w:rFonts w:ascii="Times New Roman" w:hAnsi="Times New Roman" w:cs="Times New Roman"/>
          <w:sz w:val="24"/>
          <w:szCs w:val="24"/>
        </w:rPr>
      </w:pPr>
    </w:p>
    <w:p w:rsidR="004005E2" w:rsidRPr="009A2F23" w:rsidRDefault="004005E2" w:rsidP="009A2F23">
      <w:pPr>
        <w:spacing w:line="480" w:lineRule="auto"/>
        <w:rPr>
          <w:rFonts w:ascii="Times New Roman" w:hAnsi="Times New Roman" w:cs="Times New Roman"/>
          <w:sz w:val="24"/>
          <w:szCs w:val="24"/>
        </w:rPr>
      </w:pPr>
      <w:r w:rsidRPr="009A2F23">
        <w:rPr>
          <w:rFonts w:ascii="Times New Roman" w:hAnsi="Times New Roman" w:cs="Times New Roman"/>
          <w:sz w:val="24"/>
          <w:szCs w:val="24"/>
        </w:rPr>
        <w:br w:type="page"/>
      </w:r>
    </w:p>
    <w:p w:rsidR="004005E2" w:rsidRPr="009A2F23" w:rsidRDefault="004005E2" w:rsidP="009A2F23">
      <w:pPr>
        <w:spacing w:after="0" w:line="480" w:lineRule="auto"/>
        <w:jc w:val="center"/>
        <w:rPr>
          <w:rFonts w:ascii="Times New Roman" w:hAnsi="Times New Roman" w:cs="Times New Roman"/>
          <w:sz w:val="24"/>
          <w:szCs w:val="24"/>
        </w:rPr>
      </w:pPr>
      <w:r w:rsidRPr="009A2F23">
        <w:rPr>
          <w:rFonts w:ascii="Times New Roman" w:hAnsi="Times New Roman" w:cs="Times New Roman"/>
          <w:sz w:val="24"/>
          <w:szCs w:val="24"/>
        </w:rPr>
        <w:lastRenderedPageBreak/>
        <w:t xml:space="preserve">References </w:t>
      </w:r>
    </w:p>
    <w:p w:rsidR="00095DE7" w:rsidRPr="009A2F23" w:rsidRDefault="00095DE7" w:rsidP="009A2F23">
      <w:pPr>
        <w:spacing w:after="0" w:line="480" w:lineRule="auto"/>
        <w:ind w:left="720" w:hanging="720"/>
        <w:rPr>
          <w:rFonts w:ascii="Times New Roman" w:hAnsi="Times New Roman" w:cs="Times New Roman"/>
          <w:sz w:val="24"/>
          <w:szCs w:val="24"/>
        </w:rPr>
      </w:pPr>
      <w:r w:rsidRPr="004005E2">
        <w:rPr>
          <w:rFonts w:ascii="Times New Roman" w:eastAsia="Times New Roman" w:hAnsi="Times New Roman" w:cs="Times New Roman"/>
          <w:sz w:val="24"/>
          <w:szCs w:val="24"/>
        </w:rPr>
        <w:t xml:space="preserve">McGarrigle, T., &amp; Walsh, C. A. (2011). Mindfulness, self-care, and wellness in social work: Effects of contemplative training. </w:t>
      </w:r>
      <w:r w:rsidRPr="004005E2">
        <w:rPr>
          <w:rFonts w:ascii="Times New Roman" w:eastAsia="Times New Roman" w:hAnsi="Times New Roman" w:cs="Times New Roman"/>
          <w:i/>
          <w:iCs/>
          <w:sz w:val="24"/>
          <w:szCs w:val="24"/>
        </w:rPr>
        <w:t>Journal of Religion &amp; Spirituality in Social Work: Social Thought</w:t>
      </w:r>
      <w:r w:rsidRPr="004005E2">
        <w:rPr>
          <w:rFonts w:ascii="Times New Roman" w:eastAsia="Times New Roman" w:hAnsi="Times New Roman" w:cs="Times New Roman"/>
          <w:sz w:val="24"/>
          <w:szCs w:val="24"/>
        </w:rPr>
        <w:t xml:space="preserve">, </w:t>
      </w:r>
      <w:r w:rsidRPr="004005E2">
        <w:rPr>
          <w:rFonts w:ascii="Times New Roman" w:eastAsia="Times New Roman" w:hAnsi="Times New Roman" w:cs="Times New Roman"/>
          <w:i/>
          <w:iCs/>
          <w:sz w:val="24"/>
          <w:szCs w:val="24"/>
        </w:rPr>
        <w:t>30</w:t>
      </w:r>
      <w:r w:rsidRPr="004005E2">
        <w:rPr>
          <w:rFonts w:ascii="Times New Roman" w:eastAsia="Times New Roman" w:hAnsi="Times New Roman" w:cs="Times New Roman"/>
          <w:sz w:val="24"/>
          <w:szCs w:val="24"/>
        </w:rPr>
        <w:t>(3), 212-233.</w:t>
      </w:r>
      <w:r w:rsidRPr="009A2F23">
        <w:rPr>
          <w:rFonts w:ascii="Times New Roman" w:eastAsia="Times New Roman" w:hAnsi="Times New Roman" w:cs="Times New Roman"/>
          <w:sz w:val="24"/>
          <w:szCs w:val="24"/>
        </w:rPr>
        <w:t xml:space="preserve"> </w:t>
      </w:r>
      <w:hyperlink r:id="rId6" w:history="1">
        <w:r w:rsidRPr="009A2F23">
          <w:rPr>
            <w:rStyle w:val="Hyperlink"/>
            <w:rFonts w:ascii="Times New Roman" w:hAnsi="Times New Roman" w:cs="Times New Roman"/>
            <w:sz w:val="24"/>
            <w:szCs w:val="24"/>
          </w:rPr>
          <w:t>https://doi.org/10.1080/15426432.2011.587384</w:t>
        </w:r>
      </w:hyperlink>
    </w:p>
    <w:p w:rsidR="00095DE7" w:rsidRPr="00C74F89" w:rsidRDefault="00095DE7" w:rsidP="00095DE7">
      <w:pPr>
        <w:spacing w:line="480" w:lineRule="auto"/>
        <w:ind w:left="720" w:hanging="720"/>
        <w:rPr>
          <w:rFonts w:ascii="Times New Roman" w:eastAsia="Times New Roman" w:hAnsi="Times New Roman" w:cs="Times New Roman"/>
          <w:sz w:val="24"/>
          <w:szCs w:val="24"/>
        </w:rPr>
      </w:pPr>
      <w:r w:rsidRPr="009A2F23">
        <w:rPr>
          <w:rFonts w:ascii="Times New Roman" w:hAnsi="Times New Roman" w:cs="Times New Roman"/>
          <w:sz w:val="24"/>
          <w:szCs w:val="24"/>
        </w:rPr>
        <w:t xml:space="preserve">Smith, D. B., &amp; Shields, J. (2013). Factors related to social service workers' job satisfaction: Revisiting Herzberg's motivation to work. </w:t>
      </w:r>
      <w:r w:rsidRPr="009A2F23">
        <w:rPr>
          <w:rFonts w:ascii="Times New Roman" w:hAnsi="Times New Roman" w:cs="Times New Roman"/>
          <w:i/>
          <w:iCs/>
          <w:sz w:val="24"/>
          <w:szCs w:val="24"/>
        </w:rPr>
        <w:t>Administration in Social Work</w:t>
      </w:r>
      <w:r w:rsidRPr="009A2F23">
        <w:rPr>
          <w:rFonts w:ascii="Times New Roman" w:hAnsi="Times New Roman" w:cs="Times New Roman"/>
          <w:sz w:val="24"/>
          <w:szCs w:val="24"/>
        </w:rPr>
        <w:t xml:space="preserve">, </w:t>
      </w:r>
      <w:r w:rsidRPr="009A2F23">
        <w:rPr>
          <w:rFonts w:ascii="Times New Roman" w:hAnsi="Times New Roman" w:cs="Times New Roman"/>
          <w:i/>
          <w:iCs/>
          <w:sz w:val="24"/>
          <w:szCs w:val="24"/>
        </w:rPr>
        <w:t>37</w:t>
      </w:r>
      <w:r w:rsidRPr="009A2F23">
        <w:rPr>
          <w:rFonts w:ascii="Times New Roman" w:hAnsi="Times New Roman" w:cs="Times New Roman"/>
          <w:sz w:val="24"/>
          <w:szCs w:val="24"/>
        </w:rPr>
        <w:t>(2), 189-198.</w:t>
      </w:r>
      <w:r w:rsidRPr="009A2F23">
        <w:rPr>
          <w:rFonts w:ascii="Times New Roman" w:hAnsi="Times New Roman" w:cs="Times New Roman"/>
          <w:sz w:val="24"/>
          <w:szCs w:val="24"/>
        </w:rPr>
        <w:t xml:space="preserve"> </w:t>
      </w:r>
      <w:r w:rsidRPr="009A2F23">
        <w:rPr>
          <w:rFonts w:ascii="Times New Roman" w:eastAsia="Times New Roman" w:hAnsi="Times New Roman" w:cs="Times New Roman"/>
          <w:sz w:val="24"/>
          <w:szCs w:val="24"/>
        </w:rPr>
        <w:t xml:space="preserve">DOI: </w:t>
      </w:r>
      <w:r w:rsidRPr="00C74F89">
        <w:rPr>
          <w:rFonts w:ascii="Times New Roman" w:eastAsia="Times New Roman" w:hAnsi="Times New Roman" w:cs="Times New Roman"/>
          <w:sz w:val="24"/>
          <w:szCs w:val="24"/>
        </w:rPr>
        <w:t>10.1080/03643107.2012.673217</w:t>
      </w:r>
    </w:p>
    <w:p w:rsidR="00095DE7" w:rsidRPr="004F53A1" w:rsidRDefault="00095DE7" w:rsidP="00095DE7">
      <w:pPr>
        <w:spacing w:after="0" w:line="480" w:lineRule="auto"/>
        <w:ind w:left="720" w:hanging="720"/>
        <w:rPr>
          <w:rFonts w:ascii="Times New Roman" w:eastAsia="Times New Roman" w:hAnsi="Times New Roman" w:cs="Times New Roman"/>
          <w:sz w:val="24"/>
          <w:szCs w:val="24"/>
        </w:rPr>
      </w:pPr>
      <w:r w:rsidRPr="004F53A1">
        <w:rPr>
          <w:rFonts w:ascii="Times New Roman" w:eastAsia="Times New Roman" w:hAnsi="Times New Roman" w:cs="Times New Roman"/>
          <w:sz w:val="24"/>
          <w:szCs w:val="24"/>
        </w:rPr>
        <w:t xml:space="preserve">Tripathy, J. P. (2013). Secondary data analysis: ethical issues and challenges. </w:t>
      </w:r>
      <w:r w:rsidRPr="004F53A1">
        <w:rPr>
          <w:rFonts w:ascii="Times New Roman" w:eastAsia="Times New Roman" w:hAnsi="Times New Roman" w:cs="Times New Roman"/>
          <w:i/>
          <w:iCs/>
          <w:sz w:val="24"/>
          <w:szCs w:val="24"/>
        </w:rPr>
        <w:t>Iranian journal of public health</w:t>
      </w:r>
      <w:r w:rsidRPr="004F53A1">
        <w:rPr>
          <w:rFonts w:ascii="Times New Roman" w:eastAsia="Times New Roman" w:hAnsi="Times New Roman" w:cs="Times New Roman"/>
          <w:sz w:val="24"/>
          <w:szCs w:val="24"/>
        </w:rPr>
        <w:t xml:space="preserve">, </w:t>
      </w:r>
      <w:r w:rsidRPr="004F53A1">
        <w:rPr>
          <w:rFonts w:ascii="Times New Roman" w:eastAsia="Times New Roman" w:hAnsi="Times New Roman" w:cs="Times New Roman"/>
          <w:i/>
          <w:iCs/>
          <w:sz w:val="24"/>
          <w:szCs w:val="24"/>
        </w:rPr>
        <w:t>42</w:t>
      </w:r>
      <w:r w:rsidRPr="004F53A1">
        <w:rPr>
          <w:rFonts w:ascii="Times New Roman" w:eastAsia="Times New Roman" w:hAnsi="Times New Roman" w:cs="Times New Roman"/>
          <w:sz w:val="24"/>
          <w:szCs w:val="24"/>
        </w:rPr>
        <w:t>(12), 1478.</w:t>
      </w:r>
    </w:p>
    <w:p w:rsidR="00095DE7" w:rsidRPr="009A2F23" w:rsidRDefault="00095DE7" w:rsidP="009A2F23">
      <w:pPr>
        <w:spacing w:after="0" w:line="480" w:lineRule="auto"/>
        <w:ind w:left="720" w:hanging="720"/>
        <w:rPr>
          <w:rFonts w:ascii="Times New Roman" w:eastAsia="Times New Roman" w:hAnsi="Times New Roman" w:cs="Times New Roman"/>
          <w:sz w:val="24"/>
          <w:szCs w:val="24"/>
        </w:rPr>
      </w:pPr>
      <w:r w:rsidRPr="004005E2">
        <w:rPr>
          <w:rFonts w:ascii="Times New Roman" w:eastAsia="Times New Roman" w:hAnsi="Times New Roman" w:cs="Times New Roman"/>
          <w:sz w:val="24"/>
          <w:szCs w:val="24"/>
        </w:rPr>
        <w:t xml:space="preserve">Wagaman, M. A., Geiger, J. M., Shockley, C., &amp; Segal, E. A. (2015). The role of empathy in burnout, compassion satisfaction, and secondary traumatic stress among social workers. </w:t>
      </w:r>
      <w:r w:rsidRPr="004005E2">
        <w:rPr>
          <w:rFonts w:ascii="Times New Roman" w:eastAsia="Times New Roman" w:hAnsi="Times New Roman" w:cs="Times New Roman"/>
          <w:i/>
          <w:iCs/>
          <w:sz w:val="24"/>
          <w:szCs w:val="24"/>
        </w:rPr>
        <w:t>Social work</w:t>
      </w:r>
      <w:r w:rsidRPr="004005E2">
        <w:rPr>
          <w:rFonts w:ascii="Times New Roman" w:eastAsia="Times New Roman" w:hAnsi="Times New Roman" w:cs="Times New Roman"/>
          <w:sz w:val="24"/>
          <w:szCs w:val="24"/>
        </w:rPr>
        <w:t xml:space="preserve">, </w:t>
      </w:r>
      <w:r w:rsidRPr="004005E2">
        <w:rPr>
          <w:rFonts w:ascii="Times New Roman" w:eastAsia="Times New Roman" w:hAnsi="Times New Roman" w:cs="Times New Roman"/>
          <w:i/>
          <w:iCs/>
          <w:sz w:val="24"/>
          <w:szCs w:val="24"/>
        </w:rPr>
        <w:t>60</w:t>
      </w:r>
      <w:r w:rsidRPr="004005E2">
        <w:rPr>
          <w:rFonts w:ascii="Times New Roman" w:eastAsia="Times New Roman" w:hAnsi="Times New Roman" w:cs="Times New Roman"/>
          <w:sz w:val="24"/>
          <w:szCs w:val="24"/>
        </w:rPr>
        <w:t>(3), 201-209.</w:t>
      </w:r>
      <w:r w:rsidRPr="009A2F23">
        <w:rPr>
          <w:rFonts w:ascii="Times New Roman" w:eastAsia="Times New Roman" w:hAnsi="Times New Roman" w:cs="Times New Roman"/>
          <w:sz w:val="24"/>
          <w:szCs w:val="24"/>
        </w:rPr>
        <w:t xml:space="preserve"> </w:t>
      </w:r>
      <w:hyperlink r:id="rId7" w:history="1">
        <w:r w:rsidRPr="009A2F23">
          <w:rPr>
            <w:rStyle w:val="Hyperlink"/>
            <w:rFonts w:ascii="Times New Roman" w:hAnsi="Times New Roman" w:cs="Times New Roman"/>
            <w:sz w:val="24"/>
            <w:szCs w:val="24"/>
          </w:rPr>
          <w:t>https://doi.org/10.1093/sw/swv014</w:t>
        </w:r>
      </w:hyperlink>
    </w:p>
    <w:p w:rsidR="004F53A1" w:rsidRPr="004005E2" w:rsidRDefault="004F53A1" w:rsidP="009A2F23">
      <w:pPr>
        <w:spacing w:after="0" w:line="480" w:lineRule="auto"/>
        <w:ind w:left="720" w:hanging="720"/>
        <w:rPr>
          <w:rFonts w:ascii="Times New Roman" w:eastAsia="Times New Roman" w:hAnsi="Times New Roman" w:cs="Times New Roman"/>
          <w:sz w:val="24"/>
          <w:szCs w:val="24"/>
        </w:rPr>
      </w:pPr>
    </w:p>
    <w:p w:rsidR="004005E2" w:rsidRPr="004005E2" w:rsidRDefault="004005E2" w:rsidP="009A2F23">
      <w:pPr>
        <w:spacing w:after="0" w:line="480" w:lineRule="auto"/>
        <w:rPr>
          <w:rFonts w:ascii="Times New Roman" w:eastAsia="Times New Roman" w:hAnsi="Times New Roman" w:cs="Times New Roman"/>
          <w:sz w:val="24"/>
          <w:szCs w:val="24"/>
        </w:rPr>
      </w:pPr>
    </w:p>
    <w:p w:rsidR="004005E2" w:rsidRPr="009A2F23" w:rsidRDefault="004005E2" w:rsidP="009A2F23">
      <w:pPr>
        <w:spacing w:after="0" w:line="480" w:lineRule="auto"/>
        <w:rPr>
          <w:rFonts w:ascii="Times New Roman" w:hAnsi="Times New Roman" w:cs="Times New Roman"/>
          <w:sz w:val="24"/>
          <w:szCs w:val="24"/>
        </w:rPr>
      </w:pPr>
    </w:p>
    <w:sectPr w:rsidR="004005E2" w:rsidRPr="009A2F23" w:rsidSect="00AD25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6805" w:rsidRDefault="00206805" w:rsidP="00AD25F7">
      <w:pPr>
        <w:spacing w:after="0" w:line="240" w:lineRule="auto"/>
      </w:pPr>
      <w:r>
        <w:separator/>
      </w:r>
    </w:p>
  </w:endnote>
  <w:endnote w:type="continuationSeparator" w:id="0">
    <w:p w:rsidR="00206805" w:rsidRDefault="00206805" w:rsidP="00AD2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6805" w:rsidRDefault="00206805" w:rsidP="00AD25F7">
      <w:pPr>
        <w:spacing w:after="0" w:line="240" w:lineRule="auto"/>
      </w:pPr>
      <w:r>
        <w:separator/>
      </w:r>
    </w:p>
  </w:footnote>
  <w:footnote w:type="continuationSeparator" w:id="0">
    <w:p w:rsidR="00206805" w:rsidRDefault="00206805" w:rsidP="00AD25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5F7" w:rsidRPr="00AD25F7" w:rsidRDefault="00AD25F7" w:rsidP="00AD25F7">
    <w:pPr>
      <w:pStyle w:val="Header"/>
      <w:spacing w:line="480" w:lineRule="auto"/>
      <w:jc w:val="right"/>
      <w:rPr>
        <w:rFonts w:ascii="Times New Roman" w:hAnsi="Times New Roman" w:cs="Times New Roman"/>
        <w:sz w:val="24"/>
        <w:szCs w:val="24"/>
      </w:rPr>
    </w:pPr>
    <w:r w:rsidRPr="00AD25F7">
      <w:rPr>
        <w:rFonts w:ascii="Times New Roman" w:hAnsi="Times New Roman" w:cs="Times New Roman"/>
        <w:sz w:val="24"/>
        <w:szCs w:val="24"/>
      </w:rPr>
      <w:t>EVALUATING RESEARCH</w:t>
    </w:r>
    <w:r>
      <w:rPr>
        <w:rFonts w:ascii="Times New Roman" w:hAnsi="Times New Roman" w:cs="Times New Roman"/>
        <w:sz w:val="24"/>
        <w:szCs w:val="24"/>
      </w:rPr>
      <w:tab/>
    </w:r>
    <w:r>
      <w:rPr>
        <w:rFonts w:ascii="Times New Roman" w:hAnsi="Times New Roman" w:cs="Times New Roman"/>
        <w:sz w:val="24"/>
        <w:szCs w:val="24"/>
      </w:rPr>
      <w:tab/>
    </w:r>
    <w:r w:rsidRPr="00AD25F7">
      <w:rPr>
        <w:rFonts w:ascii="Times New Roman" w:hAnsi="Times New Roman" w:cs="Times New Roman"/>
        <w:sz w:val="24"/>
        <w:szCs w:val="24"/>
      </w:rPr>
      <w:t xml:space="preserve"> </w:t>
    </w:r>
    <w:sdt>
      <w:sdtPr>
        <w:rPr>
          <w:rFonts w:ascii="Times New Roman" w:hAnsi="Times New Roman" w:cs="Times New Roman"/>
          <w:sz w:val="24"/>
          <w:szCs w:val="24"/>
        </w:rPr>
        <w:id w:val="-1939824322"/>
        <w:docPartObj>
          <w:docPartGallery w:val="Page Numbers (Top of Page)"/>
          <w:docPartUnique/>
        </w:docPartObj>
      </w:sdtPr>
      <w:sdtEndPr>
        <w:rPr>
          <w:noProof/>
        </w:rPr>
      </w:sdtEndPr>
      <w:sdtContent>
        <w:r w:rsidRPr="00AD25F7">
          <w:rPr>
            <w:rFonts w:ascii="Times New Roman" w:hAnsi="Times New Roman" w:cs="Times New Roman"/>
            <w:sz w:val="24"/>
            <w:szCs w:val="24"/>
          </w:rPr>
          <w:fldChar w:fldCharType="begin"/>
        </w:r>
        <w:r w:rsidRPr="00AD25F7">
          <w:rPr>
            <w:rFonts w:ascii="Times New Roman" w:hAnsi="Times New Roman" w:cs="Times New Roman"/>
            <w:sz w:val="24"/>
            <w:szCs w:val="24"/>
          </w:rPr>
          <w:instrText xml:space="preserve"> PAGE   \* MERGEFORMAT </w:instrText>
        </w:r>
        <w:r w:rsidRPr="00AD25F7">
          <w:rPr>
            <w:rFonts w:ascii="Times New Roman" w:hAnsi="Times New Roman" w:cs="Times New Roman"/>
            <w:sz w:val="24"/>
            <w:szCs w:val="24"/>
          </w:rPr>
          <w:fldChar w:fldCharType="separate"/>
        </w:r>
        <w:r w:rsidR="008C440A">
          <w:rPr>
            <w:rFonts w:ascii="Times New Roman" w:hAnsi="Times New Roman" w:cs="Times New Roman"/>
            <w:noProof/>
            <w:sz w:val="24"/>
            <w:szCs w:val="24"/>
          </w:rPr>
          <w:t>6</w:t>
        </w:r>
        <w:r w:rsidRPr="00AD25F7">
          <w:rPr>
            <w:rFonts w:ascii="Times New Roman" w:hAnsi="Times New Roman" w:cs="Times New Roman"/>
            <w:noProof/>
            <w:sz w:val="24"/>
            <w:szCs w:val="24"/>
          </w:rPr>
          <w:fldChar w:fldCharType="end"/>
        </w:r>
      </w:sdtContent>
    </w:sdt>
  </w:p>
  <w:p w:rsidR="00AD25F7" w:rsidRDefault="00AD25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66B9" w:rsidRPr="006C66B9" w:rsidRDefault="006C66B9" w:rsidP="006C66B9">
    <w:pPr>
      <w:pStyle w:val="Header"/>
      <w:spacing w:line="480" w:lineRule="auto"/>
      <w:jc w:val="right"/>
      <w:rPr>
        <w:rFonts w:ascii="Times New Roman" w:hAnsi="Times New Roman" w:cs="Times New Roman"/>
        <w:sz w:val="24"/>
        <w:szCs w:val="24"/>
      </w:rPr>
    </w:pPr>
    <w:r w:rsidRPr="006C66B9">
      <w:rPr>
        <w:rFonts w:ascii="Times New Roman" w:hAnsi="Times New Roman" w:cs="Times New Roman"/>
        <w:sz w:val="24"/>
        <w:szCs w:val="24"/>
      </w:rPr>
      <w:t xml:space="preserve">Running head: </w:t>
    </w:r>
    <w:r w:rsidRPr="006C66B9">
      <w:rPr>
        <w:rFonts w:ascii="Times New Roman" w:hAnsi="Times New Roman" w:cs="Times New Roman"/>
        <w:sz w:val="24"/>
        <w:szCs w:val="24"/>
      </w:rPr>
      <w:t>EVALUATING RESEARCH</w:t>
    </w:r>
    <w:r>
      <w:rPr>
        <w:rFonts w:ascii="Times New Roman" w:hAnsi="Times New Roman" w:cs="Times New Roman"/>
        <w:sz w:val="24"/>
        <w:szCs w:val="24"/>
      </w:rPr>
      <w:tab/>
    </w:r>
    <w:r>
      <w:rPr>
        <w:rFonts w:ascii="Times New Roman" w:hAnsi="Times New Roman" w:cs="Times New Roman"/>
        <w:sz w:val="24"/>
        <w:szCs w:val="24"/>
      </w:rPr>
      <w:tab/>
    </w:r>
    <w:r w:rsidRPr="006C66B9">
      <w:rPr>
        <w:rFonts w:ascii="Times New Roman" w:hAnsi="Times New Roman" w:cs="Times New Roman"/>
        <w:sz w:val="24"/>
        <w:szCs w:val="24"/>
      </w:rPr>
      <w:t xml:space="preserve"> </w:t>
    </w:r>
    <w:sdt>
      <w:sdtPr>
        <w:rPr>
          <w:rFonts w:ascii="Times New Roman" w:hAnsi="Times New Roman" w:cs="Times New Roman"/>
          <w:sz w:val="24"/>
          <w:szCs w:val="24"/>
        </w:rPr>
        <w:id w:val="627281985"/>
        <w:docPartObj>
          <w:docPartGallery w:val="Page Numbers (Top of Page)"/>
          <w:docPartUnique/>
        </w:docPartObj>
      </w:sdtPr>
      <w:sdtEndPr>
        <w:rPr>
          <w:noProof/>
        </w:rPr>
      </w:sdtEndPr>
      <w:sdtContent>
        <w:r w:rsidRPr="006C66B9">
          <w:rPr>
            <w:rFonts w:ascii="Times New Roman" w:hAnsi="Times New Roman" w:cs="Times New Roman"/>
            <w:sz w:val="24"/>
            <w:szCs w:val="24"/>
          </w:rPr>
          <w:fldChar w:fldCharType="begin"/>
        </w:r>
        <w:r w:rsidRPr="006C66B9">
          <w:rPr>
            <w:rFonts w:ascii="Times New Roman" w:hAnsi="Times New Roman" w:cs="Times New Roman"/>
            <w:sz w:val="24"/>
            <w:szCs w:val="24"/>
          </w:rPr>
          <w:instrText xml:space="preserve"> PAGE   \* MERGEFORMAT </w:instrText>
        </w:r>
        <w:r w:rsidRPr="006C66B9">
          <w:rPr>
            <w:rFonts w:ascii="Times New Roman" w:hAnsi="Times New Roman" w:cs="Times New Roman"/>
            <w:sz w:val="24"/>
            <w:szCs w:val="24"/>
          </w:rPr>
          <w:fldChar w:fldCharType="separate"/>
        </w:r>
        <w:r w:rsidR="008C440A">
          <w:rPr>
            <w:rFonts w:ascii="Times New Roman" w:hAnsi="Times New Roman" w:cs="Times New Roman"/>
            <w:noProof/>
            <w:sz w:val="24"/>
            <w:szCs w:val="24"/>
          </w:rPr>
          <w:t>1</w:t>
        </w:r>
        <w:r w:rsidRPr="006C66B9">
          <w:rPr>
            <w:rFonts w:ascii="Times New Roman" w:hAnsi="Times New Roman" w:cs="Times New Roman"/>
            <w:noProof/>
            <w:sz w:val="24"/>
            <w:szCs w:val="24"/>
          </w:rPr>
          <w:fldChar w:fldCharType="end"/>
        </w:r>
      </w:sdtContent>
    </w:sdt>
  </w:p>
  <w:p w:rsidR="00AD25F7" w:rsidRDefault="00AD25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367"/>
    <w:rsid w:val="00061734"/>
    <w:rsid w:val="00095DE7"/>
    <w:rsid w:val="000A5821"/>
    <w:rsid w:val="00125D61"/>
    <w:rsid w:val="001D2CD9"/>
    <w:rsid w:val="00206805"/>
    <w:rsid w:val="00391661"/>
    <w:rsid w:val="003D02B1"/>
    <w:rsid w:val="004005E2"/>
    <w:rsid w:val="00425167"/>
    <w:rsid w:val="00450350"/>
    <w:rsid w:val="004A36B7"/>
    <w:rsid w:val="004F53A1"/>
    <w:rsid w:val="00582D6E"/>
    <w:rsid w:val="005C3E91"/>
    <w:rsid w:val="005E6184"/>
    <w:rsid w:val="0063582A"/>
    <w:rsid w:val="006C66B9"/>
    <w:rsid w:val="006D2949"/>
    <w:rsid w:val="0070702A"/>
    <w:rsid w:val="00731ADB"/>
    <w:rsid w:val="007D12E7"/>
    <w:rsid w:val="007D1490"/>
    <w:rsid w:val="007E5E9C"/>
    <w:rsid w:val="00811FBB"/>
    <w:rsid w:val="008C440A"/>
    <w:rsid w:val="009339FC"/>
    <w:rsid w:val="00960DDC"/>
    <w:rsid w:val="009A2F23"/>
    <w:rsid w:val="009B27E4"/>
    <w:rsid w:val="00A3199A"/>
    <w:rsid w:val="00A42CD6"/>
    <w:rsid w:val="00AD25F7"/>
    <w:rsid w:val="00AE1A99"/>
    <w:rsid w:val="00AF0E53"/>
    <w:rsid w:val="00C52AEF"/>
    <w:rsid w:val="00C74F89"/>
    <w:rsid w:val="00CC5DAD"/>
    <w:rsid w:val="00DD1062"/>
    <w:rsid w:val="00E61367"/>
    <w:rsid w:val="00F63E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B6EC34-EABE-4526-B561-222B83FD6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D1490"/>
    <w:rPr>
      <w:color w:val="0000FF"/>
      <w:u w:val="single"/>
    </w:rPr>
  </w:style>
  <w:style w:type="paragraph" w:styleId="Header">
    <w:name w:val="header"/>
    <w:basedOn w:val="Normal"/>
    <w:link w:val="HeaderChar"/>
    <w:uiPriority w:val="99"/>
    <w:unhideWhenUsed/>
    <w:rsid w:val="00AD2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5F7"/>
  </w:style>
  <w:style w:type="paragraph" w:styleId="Footer">
    <w:name w:val="footer"/>
    <w:basedOn w:val="Normal"/>
    <w:link w:val="FooterChar"/>
    <w:uiPriority w:val="99"/>
    <w:unhideWhenUsed/>
    <w:rsid w:val="00AD2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5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190939">
      <w:bodyDiv w:val="1"/>
      <w:marLeft w:val="0"/>
      <w:marRight w:val="0"/>
      <w:marTop w:val="0"/>
      <w:marBottom w:val="0"/>
      <w:divBdr>
        <w:top w:val="none" w:sz="0" w:space="0" w:color="auto"/>
        <w:left w:val="none" w:sz="0" w:space="0" w:color="auto"/>
        <w:bottom w:val="none" w:sz="0" w:space="0" w:color="auto"/>
        <w:right w:val="none" w:sz="0" w:space="0" w:color="auto"/>
      </w:divBdr>
      <w:divsChild>
        <w:div w:id="1395741701">
          <w:marLeft w:val="0"/>
          <w:marRight w:val="0"/>
          <w:marTop w:val="0"/>
          <w:marBottom w:val="0"/>
          <w:divBdr>
            <w:top w:val="none" w:sz="0" w:space="0" w:color="auto"/>
            <w:left w:val="none" w:sz="0" w:space="0" w:color="auto"/>
            <w:bottom w:val="none" w:sz="0" w:space="0" w:color="auto"/>
            <w:right w:val="none" w:sz="0" w:space="0" w:color="auto"/>
          </w:divBdr>
        </w:div>
        <w:div w:id="1899321167">
          <w:marLeft w:val="0"/>
          <w:marRight w:val="0"/>
          <w:marTop w:val="0"/>
          <w:marBottom w:val="0"/>
          <w:divBdr>
            <w:top w:val="none" w:sz="0" w:space="0" w:color="auto"/>
            <w:left w:val="none" w:sz="0" w:space="0" w:color="auto"/>
            <w:bottom w:val="none" w:sz="0" w:space="0" w:color="auto"/>
            <w:right w:val="none" w:sz="0" w:space="0" w:color="auto"/>
          </w:divBdr>
        </w:div>
      </w:divsChild>
    </w:div>
    <w:div w:id="857810270">
      <w:bodyDiv w:val="1"/>
      <w:marLeft w:val="0"/>
      <w:marRight w:val="0"/>
      <w:marTop w:val="0"/>
      <w:marBottom w:val="0"/>
      <w:divBdr>
        <w:top w:val="none" w:sz="0" w:space="0" w:color="auto"/>
        <w:left w:val="none" w:sz="0" w:space="0" w:color="auto"/>
        <w:bottom w:val="none" w:sz="0" w:space="0" w:color="auto"/>
        <w:right w:val="none" w:sz="0" w:space="0" w:color="auto"/>
      </w:divBdr>
      <w:divsChild>
        <w:div w:id="1906718982">
          <w:marLeft w:val="0"/>
          <w:marRight w:val="0"/>
          <w:marTop w:val="0"/>
          <w:marBottom w:val="0"/>
          <w:divBdr>
            <w:top w:val="none" w:sz="0" w:space="0" w:color="auto"/>
            <w:left w:val="none" w:sz="0" w:space="0" w:color="auto"/>
            <w:bottom w:val="none" w:sz="0" w:space="0" w:color="auto"/>
            <w:right w:val="none" w:sz="0" w:space="0" w:color="auto"/>
          </w:divBdr>
        </w:div>
      </w:divsChild>
    </w:div>
    <w:div w:id="1480539323">
      <w:bodyDiv w:val="1"/>
      <w:marLeft w:val="0"/>
      <w:marRight w:val="0"/>
      <w:marTop w:val="0"/>
      <w:marBottom w:val="0"/>
      <w:divBdr>
        <w:top w:val="none" w:sz="0" w:space="0" w:color="auto"/>
        <w:left w:val="none" w:sz="0" w:space="0" w:color="auto"/>
        <w:bottom w:val="none" w:sz="0" w:space="0" w:color="auto"/>
        <w:right w:val="none" w:sz="0" w:space="0" w:color="auto"/>
      </w:divBdr>
      <w:divsChild>
        <w:div w:id="1775855018">
          <w:marLeft w:val="0"/>
          <w:marRight w:val="0"/>
          <w:marTop w:val="0"/>
          <w:marBottom w:val="0"/>
          <w:divBdr>
            <w:top w:val="none" w:sz="0" w:space="0" w:color="auto"/>
            <w:left w:val="none" w:sz="0" w:space="0" w:color="auto"/>
            <w:bottom w:val="none" w:sz="0" w:space="0" w:color="auto"/>
            <w:right w:val="none" w:sz="0" w:space="0" w:color="auto"/>
          </w:divBdr>
        </w:div>
      </w:divsChild>
    </w:div>
    <w:div w:id="1791246193">
      <w:bodyDiv w:val="1"/>
      <w:marLeft w:val="0"/>
      <w:marRight w:val="0"/>
      <w:marTop w:val="0"/>
      <w:marBottom w:val="0"/>
      <w:divBdr>
        <w:top w:val="none" w:sz="0" w:space="0" w:color="auto"/>
        <w:left w:val="none" w:sz="0" w:space="0" w:color="auto"/>
        <w:bottom w:val="none" w:sz="0" w:space="0" w:color="auto"/>
        <w:right w:val="none" w:sz="0" w:space="0" w:color="auto"/>
      </w:divBdr>
      <w:divsChild>
        <w:div w:id="474953414">
          <w:marLeft w:val="0"/>
          <w:marRight w:val="0"/>
          <w:marTop w:val="0"/>
          <w:marBottom w:val="0"/>
          <w:divBdr>
            <w:top w:val="none" w:sz="0" w:space="0" w:color="auto"/>
            <w:left w:val="none" w:sz="0" w:space="0" w:color="auto"/>
            <w:bottom w:val="none" w:sz="0" w:space="0" w:color="auto"/>
            <w:right w:val="none" w:sz="0" w:space="0" w:color="auto"/>
          </w:divBdr>
        </w:div>
      </w:divsChild>
    </w:div>
    <w:div w:id="1841963276">
      <w:bodyDiv w:val="1"/>
      <w:marLeft w:val="0"/>
      <w:marRight w:val="0"/>
      <w:marTop w:val="0"/>
      <w:marBottom w:val="0"/>
      <w:divBdr>
        <w:top w:val="none" w:sz="0" w:space="0" w:color="auto"/>
        <w:left w:val="none" w:sz="0" w:space="0" w:color="auto"/>
        <w:bottom w:val="none" w:sz="0" w:space="0" w:color="auto"/>
        <w:right w:val="none" w:sz="0" w:space="0" w:color="auto"/>
      </w:divBdr>
      <w:divsChild>
        <w:div w:id="8542689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093/sw/swv0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15426432.2011.587384"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6</Pages>
  <Words>1125</Words>
  <Characters>6416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dcterms:created xsi:type="dcterms:W3CDTF">2018-12-17T16:44:00Z</dcterms:created>
  <dcterms:modified xsi:type="dcterms:W3CDTF">2018-12-17T20:01:00Z</dcterms:modified>
</cp:coreProperties>
</file>